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5B07E" w14:textId="77777777" w:rsidR="00D228A8" w:rsidRDefault="00D228A8">
      <w:pPr>
        <w:spacing w:before="60" w:after="60" w:line="240" w:lineRule="auto"/>
        <w:rPr>
          <w:sz w:val="24"/>
          <w:szCs w:val="24"/>
        </w:rPr>
      </w:pPr>
    </w:p>
    <w:p w14:paraId="4890C84F" w14:textId="77777777" w:rsidR="00D228A8" w:rsidRDefault="00236BD2">
      <w:pPr>
        <w:spacing w:before="60" w:after="60" w:line="240" w:lineRule="auto"/>
      </w:pPr>
      <w:r>
        <w:rPr>
          <w:b/>
          <w:color w:val="FF0000"/>
          <w:sz w:val="28"/>
          <w:szCs w:val="28"/>
        </w:rPr>
        <w:t>Writing and Research Are Meta-Cognitive Processes.</w:t>
      </w:r>
    </w:p>
    <w:tbl>
      <w:tblPr>
        <w:tblStyle w:val="a"/>
        <w:tblW w:w="105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295"/>
      </w:tblGrid>
      <w:tr w:rsidR="00D228A8" w14:paraId="61330F41" w14:textId="77777777">
        <w:trPr>
          <w:trHeight w:val="260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6652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One: Writing 100, Students will...</w:t>
            </w:r>
          </w:p>
        </w:tc>
        <w:tc>
          <w:tcPr>
            <w:tcW w:w="5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6002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Two: Writing 101 / 106, Students will...</w:t>
            </w:r>
          </w:p>
        </w:tc>
      </w:tr>
      <w:tr w:rsidR="00D228A8" w14:paraId="4D64FC07" w14:textId="77777777">
        <w:trPr>
          <w:trHeight w:val="34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2B58" w14:textId="77777777" w:rsidR="00D228A8" w:rsidRDefault="00236BD2">
            <w:pPr>
              <w:spacing w:before="60" w:after="60" w:line="240" w:lineRule="auto"/>
            </w:pPr>
            <w:r>
              <w:t xml:space="preserve">Identify and evaluate other creators’ projects and argumentative moves in response to the needs of rhetorical contexts.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BD0B" w14:textId="77777777" w:rsidR="00D228A8" w:rsidRDefault="00236BD2">
            <w:pPr>
              <w:spacing w:before="60" w:after="60" w:line="240" w:lineRule="auto"/>
            </w:pPr>
            <w:r>
              <w:t>Develop and evaluate research and writing processes and modes that can be adapted to a variety of rhetorical contexts.</w:t>
            </w:r>
          </w:p>
        </w:tc>
      </w:tr>
      <w:tr w:rsidR="00D228A8" w14:paraId="5D2CDE86" w14:textId="77777777">
        <w:trPr>
          <w:trHeight w:val="9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78C0" w14:textId="77777777" w:rsidR="00D228A8" w:rsidRDefault="00236BD2">
            <w:pPr>
              <w:spacing w:before="60" w:after="60" w:line="240" w:lineRule="auto"/>
            </w:pPr>
            <w:r>
              <w:t>Reflect on the efficacy of researching, inventing, drafting, offering and enacting constructive feedback, and revising for their own writing.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4048" w14:textId="77777777" w:rsidR="00D228A8" w:rsidRDefault="00236BD2">
            <w:pPr>
              <w:spacing w:before="60" w:after="60" w:line="240" w:lineRule="auto"/>
            </w:pPr>
            <w:r>
              <w:t xml:space="preserve">Experiment with and refine reflective strategies that can be applied to researching, inventing, drafting, feedback, and revising for a variety of projects. </w:t>
            </w:r>
          </w:p>
        </w:tc>
      </w:tr>
      <w:tr w:rsidR="00D228A8" w14:paraId="289708C8" w14:textId="77777777">
        <w:trPr>
          <w:trHeight w:val="900"/>
        </w:trPr>
        <w:tc>
          <w:tcPr>
            <w:tcW w:w="52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A8C0" w14:textId="77777777" w:rsidR="00D228A8" w:rsidRDefault="00236BD2">
            <w:pPr>
              <w:spacing w:before="60" w:after="60" w:line="240" w:lineRule="auto"/>
            </w:pPr>
            <w:r>
              <w:t>Study the importance of academic inquiry for knowledge creation and testing the soundness of beliefs.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A112" w14:textId="77777777" w:rsidR="00D228A8" w:rsidRDefault="00236BD2">
            <w:pPr>
              <w:spacing w:before="60" w:after="60" w:line="240" w:lineRule="auto"/>
            </w:pPr>
            <w:r>
              <w:t>Formulate strategies for academic inquiry as part of their processes for creating new knowledge and testing the soundness of their beliefs.</w:t>
            </w:r>
          </w:p>
        </w:tc>
      </w:tr>
    </w:tbl>
    <w:p w14:paraId="4538A0F2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288337E9" w14:textId="77777777" w:rsidR="00D228A8" w:rsidRDefault="00236BD2">
      <w:pPr>
        <w:spacing w:before="60" w:after="60" w:line="240" w:lineRule="auto"/>
      </w:pPr>
      <w:r>
        <w:rPr>
          <w:b/>
          <w:color w:val="FF0000"/>
          <w:sz w:val="28"/>
          <w:szCs w:val="28"/>
        </w:rPr>
        <w:t>Information Has a Life Cycle and Value.</w:t>
      </w:r>
    </w:p>
    <w:tbl>
      <w:tblPr>
        <w:tblStyle w:val="a0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245"/>
        <w:gridCol w:w="220"/>
      </w:tblGrid>
      <w:tr w:rsidR="00D228A8" w14:paraId="2CF0C17C" w14:textId="77777777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B0DF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One: Writing 100, Students will...</w:t>
            </w:r>
          </w:p>
        </w:tc>
        <w:tc>
          <w:tcPr>
            <w:tcW w:w="5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42F0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Two: Writing 101 / 106,  Students will...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C88E" w14:textId="77777777" w:rsidR="00D228A8" w:rsidRDefault="00D228A8">
            <w:pPr>
              <w:widowControl w:val="0"/>
              <w:spacing w:before="60" w:after="60" w:line="240" w:lineRule="auto"/>
            </w:pPr>
          </w:p>
        </w:tc>
      </w:tr>
      <w:tr w:rsidR="00D228A8" w14:paraId="0F7A6E93" w14:textId="77777777">
        <w:tc>
          <w:tcPr>
            <w:tcW w:w="5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79FB" w14:textId="77777777" w:rsidR="00D228A8" w:rsidRDefault="00236BD2">
            <w:pPr>
              <w:widowControl w:val="0"/>
              <w:spacing w:before="60" w:after="60" w:line="240" w:lineRule="auto"/>
            </w:pPr>
            <w:r>
              <w:t xml:space="preserve">Revise their existing research strategies to reflect intellectual curiosity and discover a variety of authoritative perspectives. </w:t>
            </w: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540C" w14:textId="77777777" w:rsidR="00D228A8" w:rsidRDefault="00236BD2">
            <w:pPr>
              <w:spacing w:before="60" w:after="60" w:line="240" w:lineRule="auto"/>
            </w:pPr>
            <w:r>
              <w:t>Practice dynamic and adaptable research strategies that respond to mode, genre, and/or discipline.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1D3D" w14:textId="77777777" w:rsidR="00D228A8" w:rsidRDefault="00236BD2">
            <w:pPr>
              <w:spacing w:before="60" w:after="60" w:line="240" w:lineRule="auto"/>
              <w:ind w:left="75" w:right="-1125" w:firstLine="345"/>
            </w:pPr>
            <w:r>
              <w:t xml:space="preserve">                               </w:t>
            </w:r>
          </w:p>
        </w:tc>
      </w:tr>
      <w:tr w:rsidR="00D228A8" w14:paraId="7EDB4367" w14:textId="77777777"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C6D4" w14:textId="77777777" w:rsidR="00D228A8" w:rsidRDefault="00D228A8">
            <w:pPr>
              <w:widowControl w:val="0"/>
              <w:spacing w:before="60" w:after="60" w:line="240" w:lineRule="auto"/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B385" w14:textId="77777777" w:rsidR="00D228A8" w:rsidRDefault="00D228A8">
            <w:pPr>
              <w:widowControl w:val="0"/>
              <w:spacing w:before="60" w:after="60" w:line="240" w:lineRule="auto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BC7F" w14:textId="77777777" w:rsidR="00D228A8" w:rsidRDefault="00D228A8">
            <w:pPr>
              <w:widowControl w:val="0"/>
              <w:spacing w:before="60" w:after="60" w:line="240" w:lineRule="auto"/>
            </w:pPr>
          </w:p>
        </w:tc>
      </w:tr>
      <w:tr w:rsidR="00D228A8" w14:paraId="6647C36C" w14:textId="77777777">
        <w:tc>
          <w:tcPr>
            <w:tcW w:w="5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BC95" w14:textId="77777777" w:rsidR="00D228A8" w:rsidRDefault="00236BD2">
            <w:pPr>
              <w:widowControl w:val="0"/>
              <w:spacing w:before="60" w:after="60" w:line="240" w:lineRule="auto"/>
            </w:pPr>
            <w:r>
              <w:t xml:space="preserve">Acknowledge the factors that govern authority are complex and dependent on rhetorical context.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64D7" w14:textId="77777777" w:rsidR="00D228A8" w:rsidRDefault="00236BD2">
            <w:pPr>
              <w:spacing w:before="60" w:after="60" w:line="240" w:lineRule="auto"/>
            </w:pPr>
            <w:r>
              <w:t>Choose information that will be persuasive in specific rhetorical contexts.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553C" w14:textId="77777777" w:rsidR="00D228A8" w:rsidRDefault="00D228A8">
            <w:pPr>
              <w:spacing w:before="60" w:after="60" w:line="240" w:lineRule="auto"/>
              <w:ind w:left="75" w:right="-1125" w:firstLine="345"/>
            </w:pPr>
          </w:p>
        </w:tc>
      </w:tr>
      <w:tr w:rsidR="00D228A8" w14:paraId="6484C5E8" w14:textId="77777777">
        <w:tc>
          <w:tcPr>
            <w:tcW w:w="5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0443" w14:textId="77777777" w:rsidR="00D228A8" w:rsidRDefault="00236BD2">
            <w:pPr>
              <w:widowControl w:val="0"/>
              <w:spacing w:before="60" w:after="60" w:line="240" w:lineRule="auto"/>
            </w:pPr>
            <w:r>
              <w:t>Practice rhetorically appropriate strategies for integrating information.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6C1D" w14:textId="77777777" w:rsidR="00D228A8" w:rsidRDefault="00236BD2">
            <w:pPr>
              <w:widowControl w:val="0"/>
              <w:spacing w:before="60" w:after="60" w:line="240" w:lineRule="auto"/>
            </w:pPr>
            <w:r>
              <w:t>Enact increasingly sophisticated strategies for integrating existing information and creating new knowledge within and across disciplines and genres.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4BFC" w14:textId="77777777" w:rsidR="00D228A8" w:rsidRDefault="00D228A8">
            <w:pPr>
              <w:spacing w:before="60" w:after="60" w:line="240" w:lineRule="auto"/>
              <w:ind w:left="75" w:right="-1125" w:firstLine="345"/>
            </w:pPr>
          </w:p>
        </w:tc>
      </w:tr>
      <w:tr w:rsidR="00D228A8" w14:paraId="66DBADD2" w14:textId="77777777">
        <w:tc>
          <w:tcPr>
            <w:tcW w:w="5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3A6F" w14:textId="77777777" w:rsidR="00D228A8" w:rsidRDefault="00236BD2">
            <w:pPr>
              <w:widowControl w:val="0"/>
              <w:spacing w:before="60" w:after="60" w:line="240" w:lineRule="auto"/>
            </w:pPr>
            <w:r>
              <w:t>Take responsibility for crediting others not only to avoid plagiarism, but also to participate in the exchange of ideas.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9667" w14:textId="77777777" w:rsidR="00D228A8" w:rsidRDefault="00236BD2">
            <w:pPr>
              <w:spacing w:before="60" w:after="60" w:line="240" w:lineRule="auto"/>
            </w:pPr>
            <w:r>
              <w:t>Enact academic integrity principles and citation conventions as a way to establish credibility and acknowledge intellectual debts within disciplines and genres.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E4B5" w14:textId="77777777" w:rsidR="00D228A8" w:rsidRDefault="00D228A8">
            <w:pPr>
              <w:spacing w:before="60" w:after="60" w:line="240" w:lineRule="auto"/>
              <w:ind w:left="75" w:right="-1125" w:firstLine="345"/>
            </w:pPr>
          </w:p>
        </w:tc>
      </w:tr>
    </w:tbl>
    <w:p w14:paraId="14A848BA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16FACF94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2EFA2999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4E1A9B56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6DC61A64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63EF5A99" w14:textId="77777777" w:rsidR="00C20E63" w:rsidRDefault="00C20E63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70738B8D" w14:textId="77777777" w:rsidR="00C20E63" w:rsidRDefault="00C20E63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1BBD969D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5347B836" w14:textId="77777777" w:rsidR="00D228A8" w:rsidRDefault="00236BD2">
      <w:pPr>
        <w:spacing w:before="60" w:after="60" w:line="240" w:lineRule="auto"/>
      </w:pPr>
      <w:r>
        <w:rPr>
          <w:b/>
          <w:color w:val="FF0000"/>
          <w:sz w:val="28"/>
          <w:szCs w:val="28"/>
        </w:rPr>
        <w:lastRenderedPageBreak/>
        <w:t>Writing Requires Entering an Ongoing Conversation</w:t>
      </w:r>
      <w:r>
        <w:rPr>
          <w:color w:val="FF0000"/>
          <w:sz w:val="28"/>
          <w:szCs w:val="28"/>
        </w:rPr>
        <w:t>.</w:t>
      </w:r>
    </w:p>
    <w:tbl>
      <w:tblPr>
        <w:tblStyle w:val="a1"/>
        <w:tblW w:w="1069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7"/>
        <w:gridCol w:w="5348"/>
      </w:tblGrid>
      <w:tr w:rsidR="00D228A8" w14:paraId="2981ED5A" w14:textId="77777777">
        <w:trPr>
          <w:trHeight w:val="440"/>
        </w:trPr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CBC8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One: Writing 100, Students will...</w:t>
            </w:r>
          </w:p>
        </w:tc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7B2B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Two: 101 / 106,  Students will...</w:t>
            </w:r>
          </w:p>
        </w:tc>
      </w:tr>
      <w:tr w:rsidR="00D228A8" w14:paraId="06B2FAAE" w14:textId="77777777">
        <w:trPr>
          <w:trHeight w:val="660"/>
        </w:trPr>
        <w:tc>
          <w:tcPr>
            <w:tcW w:w="53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54AB" w14:textId="77777777" w:rsidR="00D228A8" w:rsidRDefault="00236BD2">
            <w:pPr>
              <w:spacing w:before="60" w:after="60" w:line="240" w:lineRule="auto"/>
            </w:pPr>
            <w:r>
              <w:t xml:space="preserve">Develop and practice rhetorical reading strategies across modes and genres.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2ACE" w14:textId="77777777" w:rsidR="00D228A8" w:rsidRDefault="00236BD2">
            <w:pPr>
              <w:spacing w:before="60" w:after="60" w:line="240" w:lineRule="auto"/>
            </w:pPr>
            <w:r>
              <w:t>Use rhetorical reading strategies in their writing practices.</w:t>
            </w:r>
          </w:p>
        </w:tc>
      </w:tr>
      <w:tr w:rsidR="00D228A8" w14:paraId="041A48FC" w14:textId="77777777">
        <w:trPr>
          <w:trHeight w:val="820"/>
        </w:trPr>
        <w:tc>
          <w:tcPr>
            <w:tcW w:w="5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9086" w14:textId="77777777" w:rsidR="00D228A8" w:rsidRDefault="00236BD2">
            <w:pPr>
              <w:spacing w:before="60" w:after="60" w:line="240" w:lineRule="auto"/>
            </w:pPr>
            <w:r>
              <w:t xml:space="preserve">Recognize that writing responds to conversations in and across fields of knowledge, modes, and genres. 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17B5" w14:textId="77777777" w:rsidR="00D228A8" w:rsidRDefault="00236BD2">
            <w:pPr>
              <w:spacing w:before="60" w:after="60" w:line="240" w:lineRule="auto"/>
            </w:pPr>
            <w:r>
              <w:t>Participate in conversations that move within or across fields of knowledge, modes, and genres.</w:t>
            </w:r>
          </w:p>
        </w:tc>
      </w:tr>
      <w:tr w:rsidR="00D228A8" w14:paraId="56DB134A" w14:textId="77777777">
        <w:trPr>
          <w:trHeight w:val="480"/>
        </w:trPr>
        <w:tc>
          <w:tcPr>
            <w:tcW w:w="5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90EF" w14:textId="77777777" w:rsidR="00D228A8" w:rsidRDefault="00236BD2">
            <w:pPr>
              <w:spacing w:before="60" w:after="60" w:line="240" w:lineRule="auto"/>
            </w:pPr>
            <w:r>
              <w:t>Recognize persuasive moves within or across modes, genres, and/or disciplines.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132A" w14:textId="77777777" w:rsidR="00D228A8" w:rsidRDefault="00236BD2">
            <w:pPr>
              <w:spacing w:before="60" w:after="60" w:line="240" w:lineRule="auto"/>
            </w:pPr>
            <w:r>
              <w:t>Employ persuasive moves within or across particular modes, genres, and/or disciplines.</w:t>
            </w:r>
          </w:p>
        </w:tc>
      </w:tr>
      <w:tr w:rsidR="00D228A8" w14:paraId="5B5F9B2B" w14:textId="77777777">
        <w:trPr>
          <w:trHeight w:val="800"/>
        </w:trPr>
        <w:tc>
          <w:tcPr>
            <w:tcW w:w="5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E057" w14:textId="77777777" w:rsidR="00D228A8" w:rsidRDefault="00236BD2">
            <w:pPr>
              <w:spacing w:before="60" w:after="60" w:line="240" w:lineRule="auto"/>
            </w:pPr>
            <w:r>
              <w:t>Accurately and effectively summarize, paraphrase, and quote, accounting for the creators’ aim. Practice synthesizing multiple points of view.</w:t>
            </w:r>
          </w:p>
          <w:p w14:paraId="1DCE3702" w14:textId="77777777" w:rsidR="00D228A8" w:rsidRDefault="00D228A8">
            <w:pPr>
              <w:spacing w:before="60" w:after="60" w:line="240" w:lineRule="auto"/>
            </w:pPr>
          </w:p>
        </w:tc>
        <w:tc>
          <w:tcPr>
            <w:tcW w:w="5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138F" w14:textId="77777777" w:rsidR="00D228A8" w:rsidRDefault="00236BD2">
            <w:pPr>
              <w:spacing w:before="60" w:after="60" w:line="240" w:lineRule="auto"/>
            </w:pPr>
            <w:r>
              <w:t>Preserve creators’ positions within conversations while also synthesizing multiple points of view, including their own.</w:t>
            </w:r>
          </w:p>
          <w:p w14:paraId="0EF80189" w14:textId="77777777" w:rsidR="00D228A8" w:rsidRDefault="00D228A8">
            <w:pPr>
              <w:spacing w:before="60" w:after="60" w:line="240" w:lineRule="auto"/>
            </w:pPr>
          </w:p>
        </w:tc>
      </w:tr>
      <w:tr w:rsidR="00D228A8" w14:paraId="3E89A4BD" w14:textId="77777777">
        <w:trPr>
          <w:trHeight w:val="800"/>
        </w:trPr>
        <w:tc>
          <w:tcPr>
            <w:tcW w:w="5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9583" w14:textId="77777777" w:rsidR="00D228A8" w:rsidRDefault="00236BD2">
            <w:pPr>
              <w:spacing w:before="60" w:after="60" w:line="240" w:lineRule="auto"/>
            </w:pPr>
            <w:r>
              <w:t xml:space="preserve">Distinguish between ambitious and unambitious theses, and practice developing appropriate theses.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BB13" w14:textId="77777777" w:rsidR="00D228A8" w:rsidRDefault="00236BD2">
            <w:pPr>
              <w:spacing w:before="60" w:after="60" w:line="240" w:lineRule="auto"/>
            </w:pPr>
            <w:r>
              <w:t>Develop an ambitious, thought-provoking, arguable thesis in their writing projects.</w:t>
            </w:r>
          </w:p>
        </w:tc>
      </w:tr>
    </w:tbl>
    <w:p w14:paraId="4181C286" w14:textId="77777777" w:rsidR="00D228A8" w:rsidRDefault="00D228A8">
      <w:pPr>
        <w:spacing w:before="60" w:after="60" w:line="240" w:lineRule="auto"/>
        <w:rPr>
          <w:b/>
          <w:color w:val="FF0000"/>
          <w:sz w:val="28"/>
          <w:szCs w:val="28"/>
        </w:rPr>
      </w:pPr>
    </w:p>
    <w:p w14:paraId="2A105CAF" w14:textId="77777777" w:rsidR="00D228A8" w:rsidRDefault="00236BD2">
      <w:pPr>
        <w:spacing w:before="60" w:after="60" w:line="240" w:lineRule="auto"/>
      </w:pPr>
      <w:r>
        <w:rPr>
          <w:b/>
          <w:color w:val="FF0000"/>
          <w:sz w:val="28"/>
          <w:szCs w:val="28"/>
        </w:rPr>
        <w:t>Structure, Style, and Mechanics Are Rhetorical.</w:t>
      </w:r>
    </w:p>
    <w:tbl>
      <w:tblPr>
        <w:tblStyle w:val="a2"/>
        <w:tblW w:w="107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70"/>
      </w:tblGrid>
      <w:tr w:rsidR="00D228A8" w14:paraId="52ACAE29" w14:textId="77777777">
        <w:trPr>
          <w:trHeight w:val="660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5C6C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One: Writing 100, Students will...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7392" w14:textId="77777777" w:rsidR="00D228A8" w:rsidRDefault="00236BD2">
            <w:pPr>
              <w:widowControl w:val="0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Level Two: Writing 101 / 106,  Students will...</w:t>
            </w:r>
          </w:p>
        </w:tc>
      </w:tr>
      <w:tr w:rsidR="00D228A8" w14:paraId="4B30889C" w14:textId="77777777">
        <w:trPr>
          <w:trHeight w:val="680"/>
        </w:trPr>
        <w:tc>
          <w:tcPr>
            <w:tcW w:w="5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3A21" w14:textId="77777777" w:rsidR="00D228A8" w:rsidRDefault="00236BD2">
            <w:pPr>
              <w:spacing w:before="60" w:after="60" w:line="240" w:lineRule="auto"/>
            </w:pPr>
            <w:r>
              <w:t>Explain the rhetorical importance of organizational strategies when constructin</w:t>
            </w:r>
            <w:bookmarkStart w:id="0" w:name="_GoBack"/>
            <w:bookmarkEnd w:id="0"/>
            <w:r>
              <w:t>g an argument. Identify and practice strategies for successful transitions within paragraphs and between paragraphs.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D8A7" w14:textId="77777777" w:rsidR="00D228A8" w:rsidRDefault="00236BD2">
            <w:pPr>
              <w:spacing w:before="60" w:after="60" w:line="240" w:lineRule="auto"/>
            </w:pPr>
            <w:r>
              <w:t xml:space="preserve">Practice project-driven organizational strategies, including mode-, genre-, or discipline-driven conventions of organization. Adapt transition strategies to a variety of rhetorical contexts. </w:t>
            </w:r>
          </w:p>
        </w:tc>
      </w:tr>
      <w:tr w:rsidR="00D228A8" w14:paraId="52121235" w14:textId="77777777">
        <w:trPr>
          <w:trHeight w:val="540"/>
        </w:trPr>
        <w:tc>
          <w:tcPr>
            <w:tcW w:w="5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B1F3" w14:textId="77777777" w:rsidR="00D228A8" w:rsidRDefault="00236BD2">
            <w:pPr>
              <w:spacing w:before="60" w:after="60" w:line="240" w:lineRule="auto"/>
            </w:pPr>
            <w:r>
              <w:t>Identify and practice strategies to develop concision, precision, freshness, and sentence variety through specific choices in syntax and diction.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729F" w14:textId="77777777" w:rsidR="00D228A8" w:rsidRDefault="00236BD2">
            <w:pPr>
              <w:spacing w:before="60" w:after="60" w:line="240" w:lineRule="auto"/>
            </w:pPr>
            <w:r>
              <w:t>Identify and practice project-, mode-, genre-, or discipline-driven approaches to syntax and diction, including the relationship between rhetorical context and tone.</w:t>
            </w:r>
          </w:p>
        </w:tc>
      </w:tr>
      <w:tr w:rsidR="00D228A8" w14:paraId="516F7302" w14:textId="77777777">
        <w:trPr>
          <w:trHeight w:val="540"/>
        </w:trPr>
        <w:tc>
          <w:tcPr>
            <w:tcW w:w="5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9EE" w14:textId="77777777" w:rsidR="00D228A8" w:rsidRDefault="00236BD2">
            <w:pPr>
              <w:spacing w:before="60" w:after="60" w:line="240" w:lineRule="auto"/>
            </w:pPr>
            <w:r>
              <w:t xml:space="preserve">Describe how mechanical choices are rhetorical.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FEA9" w14:textId="77777777" w:rsidR="00D228A8" w:rsidRDefault="00236BD2">
            <w:pPr>
              <w:spacing w:before="60" w:after="60" w:line="240" w:lineRule="auto"/>
            </w:pPr>
            <w:r>
              <w:t xml:space="preserve">Practice and refine strategies for making mechanical choices. </w:t>
            </w:r>
          </w:p>
        </w:tc>
      </w:tr>
      <w:tr w:rsidR="00D228A8" w14:paraId="3FF06B2A" w14:textId="77777777">
        <w:trPr>
          <w:trHeight w:val="540"/>
        </w:trPr>
        <w:tc>
          <w:tcPr>
            <w:tcW w:w="5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F6DB" w14:textId="77777777" w:rsidR="00D228A8" w:rsidRDefault="00236BD2">
            <w:pPr>
              <w:spacing w:before="60" w:after="60" w:line="240" w:lineRule="auto"/>
            </w:pPr>
            <w:r>
              <w:t xml:space="preserve">Articulate the rationale behind format and citation as a response to rhetorical context and follow appropriate citation conventions.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154F" w14:textId="77777777" w:rsidR="00D228A8" w:rsidRDefault="00236BD2">
            <w:pPr>
              <w:spacing w:before="60" w:after="60" w:line="240" w:lineRule="auto"/>
            </w:pPr>
            <w:r>
              <w:t>Identify and practice discipline- and genre-specific formatting and citation conventions.</w:t>
            </w:r>
          </w:p>
        </w:tc>
      </w:tr>
    </w:tbl>
    <w:p w14:paraId="054C0094" w14:textId="77777777" w:rsidR="00D228A8" w:rsidRDefault="00236BD2">
      <w:pPr>
        <w:spacing w:before="60" w:after="60" w:line="240" w:lineRule="auto"/>
      </w:pPr>
      <w:r>
        <w:t xml:space="preserve"> </w:t>
      </w:r>
    </w:p>
    <w:p w14:paraId="4FBEEAD5" w14:textId="77777777" w:rsidR="00D228A8" w:rsidRDefault="00D228A8">
      <w:pPr>
        <w:spacing w:before="60" w:after="60" w:line="240" w:lineRule="auto"/>
      </w:pPr>
    </w:p>
    <w:p w14:paraId="6A43C8A4" w14:textId="77777777" w:rsidR="00D228A8" w:rsidRDefault="00D228A8">
      <w:pPr>
        <w:spacing w:before="60" w:after="60" w:line="240" w:lineRule="auto"/>
      </w:pPr>
    </w:p>
    <w:p w14:paraId="45751E8F" w14:textId="77777777" w:rsidR="00D228A8" w:rsidRDefault="00D228A8">
      <w:pPr>
        <w:spacing w:before="60" w:after="60" w:line="240" w:lineRule="auto"/>
      </w:pPr>
    </w:p>
    <w:sectPr w:rsidR="00D2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8BAE" w14:textId="77777777" w:rsidR="00E12B9D" w:rsidRDefault="00E12B9D">
      <w:pPr>
        <w:spacing w:line="240" w:lineRule="auto"/>
      </w:pPr>
      <w:r>
        <w:separator/>
      </w:r>
    </w:p>
  </w:endnote>
  <w:endnote w:type="continuationSeparator" w:id="0">
    <w:p w14:paraId="3627E64E" w14:textId="77777777" w:rsidR="00E12B9D" w:rsidRDefault="00E12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2B31" w14:textId="77777777" w:rsidR="00C20E63" w:rsidRDefault="00C20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ACB7" w14:textId="77777777" w:rsidR="00C20E63" w:rsidRDefault="00C20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7BC8" w14:textId="77777777" w:rsidR="00C20E63" w:rsidRDefault="00C2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AEEB" w14:textId="77777777" w:rsidR="00E12B9D" w:rsidRDefault="00E12B9D">
      <w:pPr>
        <w:spacing w:line="240" w:lineRule="auto"/>
      </w:pPr>
      <w:r>
        <w:separator/>
      </w:r>
    </w:p>
  </w:footnote>
  <w:footnote w:type="continuationSeparator" w:id="0">
    <w:p w14:paraId="15C88E03" w14:textId="77777777" w:rsidR="00E12B9D" w:rsidRDefault="00E12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5844" w14:textId="77777777" w:rsidR="00C20E63" w:rsidRDefault="00C20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326C" w14:textId="77777777" w:rsidR="00D228A8" w:rsidRDefault="00D228A8">
    <w:pPr>
      <w:jc w:val="right"/>
    </w:pPr>
  </w:p>
  <w:p w14:paraId="291B188D" w14:textId="77777777" w:rsidR="00D228A8" w:rsidRDefault="00236BD2">
    <w:pPr>
      <w:jc w:val="right"/>
    </w:pPr>
    <w:r>
      <w:t xml:space="preserve">W1 Frames and Objectives - Page </w:t>
    </w:r>
    <w:r>
      <w:fldChar w:fldCharType="begin"/>
    </w:r>
    <w:r>
      <w:instrText>PAGE</w:instrText>
    </w:r>
    <w:r>
      <w:fldChar w:fldCharType="separate"/>
    </w:r>
    <w:r w:rsidR="00B77667">
      <w:rPr>
        <w:noProof/>
      </w:rPr>
      <w:t>1</w:t>
    </w:r>
    <w:r>
      <w:fldChar w:fldCharType="end"/>
    </w:r>
  </w:p>
  <w:p w14:paraId="0F899F5C" w14:textId="77777777" w:rsidR="00D228A8" w:rsidRDefault="00B77667">
    <w:pPr>
      <w:jc w:val="right"/>
    </w:pPr>
    <w:r>
      <w:t>May 2</w:t>
    </w:r>
    <w:r w:rsidR="00236BD2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C2F" w14:textId="77777777" w:rsidR="00D228A8" w:rsidRDefault="00D228A8"/>
  <w:p w14:paraId="196326F2" w14:textId="77777777" w:rsidR="00D228A8" w:rsidRDefault="00236BD2">
    <w:r>
      <w:t>W1 - Frames and Objectives</w:t>
    </w:r>
  </w:p>
  <w:p w14:paraId="0BD9CCA9" w14:textId="77777777" w:rsidR="00D228A8" w:rsidRDefault="00236BD2">
    <w:r>
      <w:t>February 19,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8"/>
    <w:rsid w:val="00236BD2"/>
    <w:rsid w:val="00B77667"/>
    <w:rsid w:val="00BB04D4"/>
    <w:rsid w:val="00C20E63"/>
    <w:rsid w:val="00D228A8"/>
    <w:rsid w:val="00E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C7E3"/>
  <w15:docId w15:val="{44DAFE2D-D657-3D40-91D7-A5671F9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E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63"/>
  </w:style>
  <w:style w:type="paragraph" w:styleId="Footer">
    <w:name w:val="footer"/>
    <w:basedOn w:val="Normal"/>
    <w:link w:val="FooterChar"/>
    <w:uiPriority w:val="99"/>
    <w:unhideWhenUsed/>
    <w:rsid w:val="00C20E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63"/>
  </w:style>
  <w:style w:type="paragraph" w:styleId="BalloonText">
    <w:name w:val="Balloon Text"/>
    <w:basedOn w:val="Normal"/>
    <w:link w:val="BalloonTextChar"/>
    <w:uiPriority w:val="99"/>
    <w:semiHidden/>
    <w:unhideWhenUsed/>
    <w:rsid w:val="00C20E6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Van Scooter</cp:lastModifiedBy>
  <cp:revision>2</cp:revision>
  <dcterms:created xsi:type="dcterms:W3CDTF">2020-01-26T05:38:00Z</dcterms:created>
  <dcterms:modified xsi:type="dcterms:W3CDTF">2020-01-26T05:38:00Z</dcterms:modified>
</cp:coreProperties>
</file>